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B4" w:rsidRPr="00950FB4" w:rsidRDefault="00950FB4" w:rsidP="00950FB4">
      <w:pPr>
        <w:spacing w:after="0"/>
        <w:jc w:val="right"/>
        <w:rPr>
          <w:rFonts w:ascii="Century Gothic" w:hAnsi="Century Gothic" w:cs="Courier New"/>
          <w:sz w:val="16"/>
          <w:szCs w:val="20"/>
        </w:rPr>
      </w:pPr>
      <w:r>
        <w:rPr>
          <w:rFonts w:ascii="Century Gothic" w:hAnsi="Century Gothic" w:cs="Courier New"/>
          <w:noProof/>
          <w:sz w:val="16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-90170</wp:posOffset>
            </wp:positionV>
            <wp:extent cx="847725" cy="790575"/>
            <wp:effectExtent l="19050" t="0" r="9525" b="0"/>
            <wp:wrapNone/>
            <wp:docPr id="4" name="Obraz 2" descr="C:\Documents and Settings\Kumiria biuro\Pulpit\Grfiki\logo czarne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umiria biuro\Pulpit\Grfiki\logo czarne_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454" w:rsidRDefault="009E22FA" w:rsidP="00EF5CE8">
      <w:pPr>
        <w:spacing w:after="240"/>
        <w:jc w:val="center"/>
        <w:rPr>
          <w:rFonts w:ascii="Century Gothic" w:hAnsi="Century Gothic" w:cs="Courier New"/>
          <w:b/>
          <w:sz w:val="36"/>
        </w:rPr>
      </w:pPr>
      <w:r>
        <w:rPr>
          <w:rFonts w:ascii="Century Gothic" w:hAnsi="Century Gothic"/>
          <w:b/>
          <w:sz w:val="36"/>
        </w:rPr>
        <w:t>TECHNICKÝ LIST</w:t>
      </w:r>
    </w:p>
    <w:p w:rsidR="009E22FA" w:rsidRPr="00623454" w:rsidRDefault="00623454" w:rsidP="00CE0976">
      <w:pPr>
        <w:spacing w:before="240" w:after="360"/>
        <w:jc w:val="center"/>
        <w:rPr>
          <w:sz w:val="24"/>
        </w:rPr>
      </w:pPr>
      <w:r>
        <w:rPr>
          <w:rFonts w:ascii="Century Gothic" w:hAnsi="Century Gothic"/>
          <w:b/>
          <w:sz w:val="24"/>
        </w:rPr>
        <w:t>UNIVERZÁLNY OLEJ</w:t>
      </w:r>
    </w:p>
    <w:p w:rsidR="009E22FA" w:rsidRPr="00623454" w:rsidRDefault="00CE0976" w:rsidP="00CE0976">
      <w:pPr>
        <w:pBdr>
          <w:top w:val="single" w:sz="4" w:space="1" w:color="auto"/>
          <w:bottom w:val="single" w:sz="4" w:space="1" w:color="auto"/>
        </w:pBdr>
        <w:shd w:val="clear" w:color="auto" w:fill="FFD85B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POUŽITIE:</w:t>
      </w:r>
    </w:p>
    <w:p w:rsidR="009E22FA" w:rsidRDefault="00B73661" w:rsidP="009E22FA">
      <w:pPr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3759835</wp:posOffset>
            </wp:positionH>
            <wp:positionV relativeFrom="paragraph">
              <wp:posOffset>55245</wp:posOffset>
            </wp:positionV>
            <wp:extent cx="1990725" cy="1319530"/>
            <wp:effectExtent l="19050" t="0" r="9525" b="0"/>
            <wp:wrapSquare wrapText="bothSides"/>
            <wp:docPr id="1" name="Obraz 1" descr="C:\Documents and Settings\Kumiria biuro\Pulpit\Grfiki\grafiki nanooil\IMG_4646_gotowe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miria biuro\Pulpit\Grfiki\grafiki nanooil\IMG_4646_gotowe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Univerzálny olej je určený na mazanie rôznych typov kovových a chrómovaných prvkov používaných v ľahkých mechanizmoch. Používa sa na mazanie závesov, zámkov, závor, skrutiek, matíc ako aj dielov rôznych zariadení, ako sú píly, stroje, kosačky, a tiež bicyklov a vozíkov. Môže sa používať ako dočasná ochrana proti korózii dielenského a záhradného náradia, malých elektrických motorov, ako aj vstrekovacích čerpadiel, je určené predovšetkým na ich pohyblivé prvky. </w:t>
      </w:r>
    </w:p>
    <w:p w:rsidR="00B73661" w:rsidRPr="00181CA1" w:rsidRDefault="00CE0976" w:rsidP="00CE0976">
      <w:pPr>
        <w:pBdr>
          <w:top w:val="single" w:sz="4" w:space="1" w:color="auto"/>
          <w:bottom w:val="single" w:sz="4" w:space="1" w:color="auto"/>
        </w:pBdr>
        <w:shd w:val="clear" w:color="auto" w:fill="FFD85B"/>
        <w:spacing w:before="240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</w:rPr>
        <w:t xml:space="preserve"> POUŽITIE:</w:t>
      </w:r>
    </w:p>
    <w:p w:rsidR="00B73661" w:rsidRPr="00B73661" w:rsidRDefault="00B73661" w:rsidP="00181CA1">
      <w:pPr>
        <w:numPr>
          <w:ilvl w:val="0"/>
          <w:numId w:val="1"/>
        </w:numPr>
        <w:spacing w:before="240" w:after="0"/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>vytvára povlak s výnimočným odpudzovaním vlhkosti a znečistenia, ako aj vytvára ochrannú vrstvu proti korózii;</w:t>
      </w:r>
    </w:p>
    <w:p w:rsidR="00B73661" w:rsidRPr="00B73661" w:rsidRDefault="00B73661" w:rsidP="00B73661">
      <w:pPr>
        <w:numPr>
          <w:ilvl w:val="0"/>
          <w:numId w:val="1"/>
        </w:numPr>
        <w:spacing w:after="0"/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>odpudzuje vodu z kovových povrchov, náradia, motorov;</w:t>
      </w:r>
    </w:p>
    <w:p w:rsidR="00B73661" w:rsidRPr="00B73661" w:rsidRDefault="00B73661" w:rsidP="00B73661">
      <w:pPr>
        <w:numPr>
          <w:ilvl w:val="0"/>
          <w:numId w:val="1"/>
        </w:numPr>
        <w:spacing w:after="0"/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>napomáha plynulému fungovaniu mechanizmov, bez vŕzgania a zasekávania;</w:t>
      </w:r>
    </w:p>
    <w:p w:rsidR="00B73661" w:rsidRPr="00B73661" w:rsidRDefault="00B73661" w:rsidP="00B73661">
      <w:pPr>
        <w:numPr>
          <w:ilvl w:val="0"/>
          <w:numId w:val="1"/>
        </w:numPr>
        <w:spacing w:after="0"/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>dokonale čistí a odblokováva mechanizmy;</w:t>
      </w:r>
    </w:p>
    <w:p w:rsidR="00B73661" w:rsidRPr="00B73661" w:rsidRDefault="00B73661" w:rsidP="00B73661">
      <w:pPr>
        <w:numPr>
          <w:ilvl w:val="0"/>
          <w:numId w:val="1"/>
        </w:numPr>
        <w:spacing w:after="0"/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>preniká a uvoľňuje skorodované, zhrdzavené a spečené diely;</w:t>
      </w:r>
    </w:p>
    <w:p w:rsidR="0091795C" w:rsidRPr="002F7D7C" w:rsidRDefault="00B73661" w:rsidP="0091795C">
      <w:pPr>
        <w:numPr>
          <w:ilvl w:val="0"/>
          <w:numId w:val="1"/>
        </w:numPr>
        <w:spacing w:after="0"/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>povoľuje skorodované prvky.</w:t>
      </w:r>
    </w:p>
    <w:p w:rsidR="009E22FA" w:rsidRPr="00181CA1" w:rsidRDefault="00B90066" w:rsidP="00CE0976">
      <w:pPr>
        <w:pBdr>
          <w:top w:val="single" w:sz="4" w:space="1" w:color="auto"/>
          <w:bottom w:val="single" w:sz="4" w:space="1" w:color="auto"/>
        </w:pBdr>
        <w:shd w:val="clear" w:color="auto" w:fill="FFD85B"/>
        <w:spacing w:before="36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</w:rPr>
        <w:t xml:space="preserve"> FYZIKÁLNE A CHEMICKÉ VLASTNOSTI:</w:t>
      </w:r>
    </w:p>
    <w:p w:rsidR="00093D57" w:rsidRPr="00093D57" w:rsidRDefault="00093D57" w:rsidP="00AB3F85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skupenstvo: </w:t>
      </w:r>
      <w:r>
        <w:rPr>
          <w:rFonts w:ascii="Century Gothic" w:hAnsi="Century Gothic"/>
          <w:sz w:val="20"/>
        </w:rPr>
        <w:tab/>
        <w:t>aerosól</w:t>
      </w:r>
    </w:p>
    <w:p w:rsidR="00093D57" w:rsidRPr="00093D57" w:rsidRDefault="00093D57" w:rsidP="00AB3F85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farba: </w:t>
      </w:r>
      <w:r>
        <w:rPr>
          <w:rFonts w:ascii="Century Gothic" w:hAnsi="Century Gothic"/>
          <w:sz w:val="20"/>
        </w:rPr>
        <w:tab/>
        <w:t>jantárová</w:t>
      </w:r>
    </w:p>
    <w:p w:rsidR="00093D57" w:rsidRPr="00093D57" w:rsidRDefault="00093D57" w:rsidP="00093D57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zápach: </w:t>
      </w:r>
      <w:r>
        <w:rPr>
          <w:rFonts w:ascii="Century Gothic" w:hAnsi="Century Gothic"/>
          <w:sz w:val="20"/>
        </w:rPr>
        <w:tab/>
        <w:t>charakteristický</w:t>
      </w:r>
    </w:p>
    <w:p w:rsidR="00093D57" w:rsidRPr="00093D57" w:rsidRDefault="00093D57" w:rsidP="00093D57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teplota topenia/mäknutia: </w:t>
      </w:r>
      <w:r>
        <w:rPr>
          <w:rFonts w:ascii="Century Gothic" w:hAnsi="Century Gothic"/>
          <w:sz w:val="20"/>
        </w:rPr>
        <w:tab/>
        <w:t>-45 ºC</w:t>
      </w:r>
    </w:p>
    <w:p w:rsidR="00093D57" w:rsidRPr="00093D57" w:rsidRDefault="00093D57" w:rsidP="00093D57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teplota vznietenia: </w:t>
      </w:r>
      <w:r>
        <w:rPr>
          <w:rFonts w:ascii="Century Gothic" w:hAnsi="Century Gothic"/>
          <w:sz w:val="20"/>
        </w:rPr>
        <w:tab/>
        <w:t>&lt; 0 ºC</w:t>
      </w:r>
    </w:p>
    <w:p w:rsidR="00093D57" w:rsidRPr="00093D57" w:rsidRDefault="00093D57" w:rsidP="00093D57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horľavosť (pevnej látky, plynu): </w:t>
      </w:r>
      <w:r>
        <w:rPr>
          <w:rFonts w:ascii="Century Gothic" w:hAnsi="Century Gothic"/>
          <w:sz w:val="20"/>
        </w:rPr>
        <w:tab/>
        <w:t>mimoriadne horľavý</w:t>
      </w:r>
    </w:p>
    <w:p w:rsidR="00093D57" w:rsidRPr="00093D57" w:rsidRDefault="00093D57" w:rsidP="00093D57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horná/dolná hranica výbušnosti: </w:t>
      </w:r>
      <w:r>
        <w:rPr>
          <w:rFonts w:ascii="Century Gothic" w:hAnsi="Century Gothic"/>
          <w:sz w:val="20"/>
        </w:rPr>
        <w:tab/>
        <w:t>8,4%/1,8% obj. (propelent)</w:t>
      </w:r>
    </w:p>
    <w:p w:rsidR="00093D57" w:rsidRPr="00093D57" w:rsidRDefault="00093D57" w:rsidP="00093D57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hustota (20ºC): </w:t>
      </w:r>
      <w:r>
        <w:rPr>
          <w:rFonts w:ascii="Century Gothic" w:hAnsi="Century Gothic"/>
          <w:sz w:val="20"/>
        </w:rPr>
        <w:tab/>
        <w:t>0,870 g/cm3</w:t>
      </w:r>
    </w:p>
    <w:p w:rsidR="009E22FA" w:rsidRDefault="00093D57" w:rsidP="00181CA1">
      <w:pPr>
        <w:tabs>
          <w:tab w:val="left" w:pos="4536"/>
        </w:tabs>
        <w:spacing w:after="0"/>
        <w:ind w:left="4536" w:hanging="4533"/>
        <w:rPr>
          <w:rFonts w:ascii="Century Gothic" w:hAnsi="Century Gothic" w:cs="Tahoma"/>
          <w:b/>
          <w:sz w:val="20"/>
        </w:rPr>
      </w:pPr>
      <w:r>
        <w:rPr>
          <w:rFonts w:ascii="Century Gothic" w:hAnsi="Century Gothic"/>
          <w:sz w:val="20"/>
        </w:rPr>
        <w:t xml:space="preserve">rozpustnosť: </w:t>
      </w:r>
      <w:r>
        <w:rPr>
          <w:rFonts w:ascii="Century Gothic" w:hAnsi="Century Gothic"/>
          <w:sz w:val="20"/>
        </w:rPr>
        <w:tab/>
        <w:t>nerozpúšťa sa vo vode, rozpúšťa sa v organických rozpúšťadlách</w:t>
      </w:r>
    </w:p>
    <w:p w:rsidR="00093D57" w:rsidRDefault="00093D57" w:rsidP="00093D57">
      <w:pPr>
        <w:tabs>
          <w:tab w:val="left" w:pos="4536"/>
        </w:tabs>
        <w:spacing w:after="0"/>
        <w:ind w:left="4530" w:hanging="453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>výbušné vlastnosti: so vzduchom vytvára výbušnú zmes</w:t>
      </w:r>
    </w:p>
    <w:p w:rsidR="00181CA1" w:rsidRDefault="00181CA1" w:rsidP="0091795C">
      <w:pPr>
        <w:tabs>
          <w:tab w:val="left" w:pos="4536"/>
        </w:tabs>
        <w:spacing w:after="0"/>
        <w:ind w:left="4530" w:hanging="453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>oxidačné vlastnosti:</w:t>
      </w:r>
      <w:r>
        <w:rPr>
          <w:rFonts w:ascii="Century Gothic" w:hAnsi="Century Gothic"/>
          <w:sz w:val="20"/>
        </w:rPr>
        <w:tab/>
        <w:t>nevykazuje</w:t>
      </w:r>
    </w:p>
    <w:p w:rsidR="00B90066" w:rsidRDefault="00B90066" w:rsidP="0091795C">
      <w:pPr>
        <w:tabs>
          <w:tab w:val="left" w:pos="4536"/>
        </w:tabs>
        <w:spacing w:after="0"/>
        <w:ind w:left="4530" w:hanging="4530"/>
        <w:rPr>
          <w:rFonts w:ascii="Century Gothic" w:hAnsi="Century Gothic" w:cs="Tahoma"/>
          <w:sz w:val="20"/>
        </w:rPr>
      </w:pPr>
    </w:p>
    <w:p w:rsidR="00B90066" w:rsidRPr="00B90066" w:rsidRDefault="00B90066" w:rsidP="00B90066">
      <w:pPr>
        <w:pBdr>
          <w:top w:val="single" w:sz="4" w:space="1" w:color="auto"/>
          <w:bottom w:val="single" w:sz="4" w:space="1" w:color="auto"/>
        </w:pBdr>
        <w:shd w:val="clear" w:color="auto" w:fill="FFD85B"/>
        <w:rPr>
          <w:rFonts w:ascii="Century Gothic" w:hAnsi="Century Gothic" w:cs="SegoeUI,Bold"/>
          <w:b/>
          <w:bCs/>
          <w:szCs w:val="18"/>
        </w:rPr>
      </w:pPr>
      <w:r>
        <w:rPr>
          <w:rFonts w:ascii="Century Gothic" w:hAnsi="Century Gothic"/>
          <w:b/>
          <w:bCs/>
          <w:szCs w:val="18"/>
        </w:rPr>
        <w:t xml:space="preserve"> EKOLOGICKÉ INFORMÁCIE</w:t>
      </w:r>
    </w:p>
    <w:p w:rsidR="00A4627B" w:rsidRPr="000272DC" w:rsidRDefault="00B90066" w:rsidP="00A4627B">
      <w:pPr>
        <w:jc w:val="both"/>
        <w:rPr>
          <w:rFonts w:ascii="Century Gothic" w:hAnsi="Century Gothic" w:cs="Tahoma"/>
          <w:color w:val="FF0000"/>
          <w:sz w:val="20"/>
        </w:rPr>
      </w:pPr>
      <w:r>
        <w:rPr>
          <w:rFonts w:ascii="Century Gothic" w:hAnsi="Century Gothic"/>
          <w:color w:val="FF0000"/>
          <w:sz w:val="20"/>
        </w:rPr>
        <w:t>Výrobok nie je klasifikovaný ako látka nebezpečná pre životné prostredie. Nepredpokladá sa bioakumulácia. Výrobok s nízkou mobilitou vo vodnom prostredí a v pôde. Plynové komponenty sa vo vzduchu rýchlo šíria.</w:t>
      </w:r>
    </w:p>
    <w:p w:rsidR="00A4627B" w:rsidRDefault="00A4627B" w:rsidP="00A4627B">
      <w:pPr>
        <w:pBdr>
          <w:top w:val="single" w:sz="4" w:space="0" w:color="auto"/>
          <w:bottom w:val="single" w:sz="4" w:space="1" w:color="auto"/>
        </w:pBdr>
        <w:shd w:val="clear" w:color="auto" w:fill="FFD85B"/>
        <w:rPr>
          <w:rFonts w:ascii="Century Gothic" w:hAnsi="Century Gothic" w:cs="Tahoma"/>
          <w:b/>
          <w:sz w:val="20"/>
        </w:rPr>
      </w:pPr>
      <w:r>
        <w:rPr>
          <w:rFonts w:ascii="Century Gothic" w:hAnsi="Century Gothic"/>
          <w:b/>
        </w:rPr>
        <w:lastRenderedPageBreak/>
        <w:t>STABILITA A REAKTIVITA:</w:t>
      </w:r>
    </w:p>
    <w:p w:rsidR="00B90066" w:rsidRPr="00B90066" w:rsidRDefault="00A4627B" w:rsidP="00A4627B">
      <w:pPr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color w:val="FF0000"/>
          <w:sz w:val="20"/>
        </w:rPr>
        <w:t xml:space="preserve">Reaktívny výrobok, nedochádza k nebezpečnej polymerizácii. </w:t>
      </w:r>
      <w:r>
        <w:rPr>
          <w:rFonts w:ascii="Century Gothic" w:hAnsi="Century Gothic"/>
          <w:sz w:val="20"/>
        </w:rPr>
        <w:t>Pary so vzduchom môžu vytvoriť výbušnú zmes. Pri správnom používaní a uchovávaní neuvoľňujú sa nebezpečné produkty rozkladu.</w:t>
      </w:r>
    </w:p>
    <w:p w:rsidR="00181CA1" w:rsidRDefault="00B90066" w:rsidP="002F7D7C">
      <w:pPr>
        <w:pBdr>
          <w:top w:val="single" w:sz="4" w:space="1" w:color="auto"/>
          <w:bottom w:val="single" w:sz="4" w:space="1" w:color="auto"/>
        </w:pBdr>
        <w:shd w:val="clear" w:color="auto" w:fill="FFD85B"/>
        <w:spacing w:after="0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</w:rPr>
        <w:t xml:space="preserve"> ZDRAVIE A BEZPEČNOSŤ</w:t>
      </w:r>
    </w:p>
    <w:p w:rsidR="00697F87" w:rsidRDefault="00181CA1" w:rsidP="002F7D7C">
      <w:pPr>
        <w:tabs>
          <w:tab w:val="left" w:pos="0"/>
        </w:tabs>
        <w:spacing w:before="240" w:after="0"/>
        <w:ind w:firstLine="6"/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color w:val="FF0000"/>
          <w:sz w:val="20"/>
        </w:rPr>
        <w:t xml:space="preserve">Dodržujte všeobecné predpisy BOZP. Vyhnite sa kontaktu s očami a s kožou. Znečistený odev okamžite vyzlečte. </w:t>
      </w:r>
      <w:r>
        <w:rPr>
          <w:rFonts w:ascii="Century Gothic" w:hAnsi="Century Gothic"/>
          <w:sz w:val="20"/>
        </w:rPr>
        <w:t xml:space="preserve">Na mieste práce zabezpečte vhodné všeobecné a/alebo miestne vetranie, také, ktoré zabezpečí, aby koncentrácia danej nebezpečnej zložky vo vzduchu bola nižšia ako prípustná úroveň expozície. </w:t>
      </w:r>
      <w:r w:rsidR="00D70D28" w:rsidRPr="00D70D28">
        <w:rPr>
          <w:rFonts w:ascii="Century Gothic" w:hAnsi="Century Gothic"/>
          <w:sz w:val="20"/>
        </w:rPr>
        <w:t>Môže vyvolať alergickú kožnú reakciu.</w:t>
      </w:r>
    </w:p>
    <w:p w:rsidR="00181CA1" w:rsidRPr="000272DC" w:rsidRDefault="00D70D28" w:rsidP="002F7D7C">
      <w:pPr>
        <w:tabs>
          <w:tab w:val="left" w:pos="0"/>
        </w:tabs>
        <w:ind w:firstLine="6"/>
        <w:jc w:val="both"/>
        <w:rPr>
          <w:rFonts w:ascii="Century Gothic" w:hAnsi="Century Gothic" w:cs="Tahoma"/>
          <w:color w:val="FF0000"/>
          <w:sz w:val="20"/>
        </w:rPr>
      </w:pPr>
      <w:r w:rsidRPr="00D70D28">
        <w:rPr>
          <w:rFonts w:ascii="Century Gothic" w:hAnsi="Century Gothic"/>
          <w:color w:val="FF0000"/>
          <w:sz w:val="20"/>
        </w:rPr>
        <w:t>Uchovávajte mimo dosahu detí.</w:t>
      </w:r>
      <w:r w:rsidR="00063CB5">
        <w:rPr>
          <w:rFonts w:ascii="Century Gothic" w:hAnsi="Century Gothic"/>
          <w:color w:val="FF0000"/>
          <w:sz w:val="20"/>
        </w:rPr>
        <w:t xml:space="preserve"> </w:t>
      </w:r>
      <w:r w:rsidRPr="00D70D28">
        <w:rPr>
          <w:rFonts w:ascii="Century Gothic" w:hAnsi="Century Gothic"/>
          <w:color w:val="FF0000"/>
          <w:sz w:val="20"/>
        </w:rPr>
        <w:t>Neprepichujte alebo nespaľujte ju, a to ani po spotrebovaní obsahu.</w:t>
      </w:r>
      <w:bookmarkStart w:id="0" w:name="_GoBack"/>
      <w:bookmarkEnd w:id="0"/>
      <w:r w:rsidR="00063CB5">
        <w:rPr>
          <w:rFonts w:ascii="Century Gothic" w:hAnsi="Century Gothic"/>
          <w:color w:val="FF0000"/>
          <w:sz w:val="20"/>
        </w:rPr>
        <w:t xml:space="preserve"> </w:t>
      </w:r>
    </w:p>
    <w:p w:rsidR="00093D57" w:rsidRPr="002F7D7C" w:rsidRDefault="00CE0976" w:rsidP="002F7D7C">
      <w:pPr>
        <w:pBdr>
          <w:top w:val="single" w:sz="4" w:space="1" w:color="auto"/>
          <w:bottom w:val="single" w:sz="4" w:space="1" w:color="auto"/>
        </w:pBdr>
        <w:shd w:val="clear" w:color="auto" w:fill="FFD85B"/>
        <w:tabs>
          <w:tab w:val="left" w:pos="4536"/>
        </w:tabs>
        <w:spacing w:after="0"/>
        <w:ind w:left="4530" w:hanging="453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</w:rPr>
        <w:t xml:space="preserve"> SKLADOVANIE:</w:t>
      </w:r>
    </w:p>
    <w:p w:rsidR="002F7D7C" w:rsidRPr="000272DC" w:rsidRDefault="00B67847" w:rsidP="00A4627B">
      <w:pPr>
        <w:autoSpaceDE w:val="0"/>
        <w:autoSpaceDN w:val="0"/>
        <w:adjustRightInd w:val="0"/>
        <w:spacing w:before="240" w:after="0"/>
        <w:jc w:val="both"/>
        <w:rPr>
          <w:rFonts w:ascii="Century Gothic" w:hAnsi="Century Gothic" w:cs="SegoeUI"/>
          <w:color w:val="FF0000"/>
          <w:sz w:val="20"/>
          <w:szCs w:val="18"/>
        </w:rPr>
      </w:pPr>
      <w:r>
        <w:rPr>
          <w:rFonts w:ascii="Century Gothic" w:hAnsi="Century Gothic"/>
          <w:color w:val="FF0000"/>
          <w:sz w:val="20"/>
          <w:szCs w:val="18"/>
        </w:rPr>
        <w:t>Uchovávajte iba na suchom a dobre vetranom mieste pri teplote nižšej ako 50 ºC. Prechovávajte v bezpečnej vzdialenosti od tepelných zdrojov. Na území skladu dodržiavajte zákaz fajčenia, používania otvoreného ohňa a iskriacich zariadení a náradia. Zabezpečte vetranie s protivýbušnými parametrami. Uchovávajte v bezpečnej vzdialenosti od potravín, jedlých surovín a od krmiva pre zvieratá. Chráňte pred priamym pôsobením slnečného žiarenia.</w:t>
      </w:r>
    </w:p>
    <w:p w:rsidR="002F7D7C" w:rsidRPr="002F7D7C" w:rsidRDefault="002F7D7C" w:rsidP="002F7D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UI"/>
          <w:sz w:val="20"/>
          <w:szCs w:val="18"/>
        </w:rPr>
      </w:pPr>
    </w:p>
    <w:p w:rsidR="00093D57" w:rsidRPr="00181CA1" w:rsidRDefault="00CE0976" w:rsidP="00CE0976">
      <w:pPr>
        <w:pBdr>
          <w:top w:val="single" w:sz="4" w:space="1" w:color="auto"/>
          <w:bottom w:val="single" w:sz="4" w:space="1" w:color="auto"/>
        </w:pBdr>
        <w:shd w:val="clear" w:color="auto" w:fill="FFD85B"/>
        <w:tabs>
          <w:tab w:val="left" w:pos="4536"/>
        </w:tabs>
        <w:spacing w:after="0"/>
        <w:ind w:left="4530" w:hanging="453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</w:rPr>
        <w:t xml:space="preserve"> PREPRAVA:</w:t>
      </w:r>
    </w:p>
    <w:p w:rsidR="009C695D" w:rsidRPr="009C695D" w:rsidRDefault="009C695D" w:rsidP="00093D57">
      <w:pPr>
        <w:tabs>
          <w:tab w:val="left" w:pos="4536"/>
        </w:tabs>
        <w:spacing w:after="0"/>
        <w:ind w:left="4530" w:hanging="4530"/>
        <w:rPr>
          <w:rFonts w:ascii="Century Gothic" w:hAnsi="Century Gothic" w:cs="Tahoma"/>
          <w:sz w:val="20"/>
        </w:rPr>
      </w:pPr>
    </w:p>
    <w:p w:rsidR="009C695D" w:rsidRPr="000272DC" w:rsidRDefault="009C695D" w:rsidP="002F7D7C">
      <w:pPr>
        <w:spacing w:after="0"/>
        <w:jc w:val="both"/>
        <w:rPr>
          <w:rFonts w:ascii="Century Gothic" w:hAnsi="Century Gothic" w:cs="Tahoma"/>
          <w:color w:val="FF0000"/>
          <w:sz w:val="20"/>
        </w:rPr>
      </w:pPr>
      <w:r>
        <w:rPr>
          <w:rFonts w:ascii="Century Gothic" w:hAnsi="Century Gothic"/>
          <w:color w:val="FF0000"/>
          <w:sz w:val="20"/>
        </w:rPr>
        <w:t>Zmes nepredstavuje ohrozenie pre životné prostredie podľa kritérií dopravných predpisov. Časti zásielky sa nesmú hádzať ani nesmú byť vystavené na údery. Nádoby/fóliované výrobky musia byť na vozidle alebo v kontajnery pokladané tak, aby sa nemohli prevrátiť alebo spadnúť. Predchádzajte pôsobeniu tepelných zdrojov.</w:t>
      </w:r>
    </w:p>
    <w:p w:rsidR="00623454" w:rsidRDefault="00623454" w:rsidP="009C695D">
      <w:pPr>
        <w:spacing w:after="0"/>
        <w:rPr>
          <w:rFonts w:ascii="Century Gothic" w:hAnsi="Century Gothic" w:cs="Tahoma"/>
          <w:sz w:val="20"/>
        </w:rPr>
      </w:pPr>
    </w:p>
    <w:p w:rsidR="00623454" w:rsidRPr="00B67847" w:rsidRDefault="00CE0976" w:rsidP="00CE0976">
      <w:pPr>
        <w:pBdr>
          <w:top w:val="single" w:sz="4" w:space="1" w:color="auto"/>
          <w:bottom w:val="single" w:sz="4" w:space="1" w:color="auto"/>
        </w:pBdr>
        <w:shd w:val="clear" w:color="auto" w:fill="FFD85B"/>
        <w:spacing w:after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</w:rPr>
        <w:t xml:space="preserve"> POZNÁMKY</w:t>
      </w:r>
    </w:p>
    <w:p w:rsidR="00B67847" w:rsidRDefault="00B67847" w:rsidP="009C695D">
      <w:pPr>
        <w:spacing w:after="0"/>
        <w:rPr>
          <w:rFonts w:ascii="Century Gothic" w:hAnsi="Century Gothic" w:cs="Tahoma"/>
          <w:sz w:val="20"/>
        </w:rPr>
      </w:pPr>
    </w:p>
    <w:p w:rsidR="00B67847" w:rsidRPr="009C695D" w:rsidRDefault="00B67847" w:rsidP="009C695D">
      <w:pPr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>Výrobok neobsahuje silikón.</w:t>
      </w:r>
    </w:p>
    <w:sectPr w:rsidR="00B67847" w:rsidRPr="009C695D" w:rsidSect="005F05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59A" w:rsidRDefault="0011759A" w:rsidP="00623454">
      <w:pPr>
        <w:spacing w:after="0" w:line="240" w:lineRule="auto"/>
      </w:pPr>
      <w:r>
        <w:separator/>
      </w:r>
    </w:p>
  </w:endnote>
  <w:endnote w:type="continuationSeparator" w:id="0">
    <w:p w:rsidR="0011759A" w:rsidRDefault="0011759A" w:rsidP="0062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U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40" w:rsidRDefault="007A2340" w:rsidP="007A2340">
    <w:pPr>
      <w:pStyle w:val="Stopka"/>
      <w:tabs>
        <w:tab w:val="left" w:pos="851"/>
      </w:tabs>
      <w:ind w:left="851"/>
      <w:rPr>
        <w:sz w:val="18"/>
      </w:rPr>
    </w:pPr>
  </w:p>
  <w:p w:rsidR="00AB3F85" w:rsidRPr="00AB3F85" w:rsidRDefault="007A2340" w:rsidP="00181CA1">
    <w:pPr>
      <w:pStyle w:val="Stopka"/>
      <w:pBdr>
        <w:top w:val="single" w:sz="4" w:space="2" w:color="auto"/>
      </w:pBdr>
      <w:ind w:left="567"/>
      <w:jc w:val="both"/>
      <w:rPr>
        <w:sz w:val="18"/>
      </w:rPr>
    </w:pPr>
    <w:r w:rsidRPr="000272DC">
      <w:rPr>
        <w:noProof/>
        <w:color w:val="FF0000"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18415</wp:posOffset>
          </wp:positionV>
          <wp:extent cx="428625" cy="400050"/>
          <wp:effectExtent l="19050" t="0" r="9525" b="0"/>
          <wp:wrapNone/>
          <wp:docPr id="3" name="Obraz 2" descr="C:\Documents and Settings\Kumiria biuro\Pulpit\Grfiki\logo czarn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umiria biuro\Pulpit\Grfiki\logo czarne_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FF0000"/>
        <w:sz w:val="18"/>
      </w:rPr>
      <w:t xml:space="preserve">Technický </w:t>
    </w:r>
    <w:r>
      <w:rPr>
        <w:color w:val="FF0000"/>
        <w:sz w:val="18"/>
      </w:rPr>
      <w:t xml:space="preserve">list vznikol na základe presných údajov uvedených v karte bezpečnostných údajov výrobku. Spoločnosť „Nanooil Sp. j.“ si vyhradzuje právo zmeniť obsah nasledujúcich verzií technického listu bez predchádzajúceho informovania zákazníkov o tejto skutočnosti, ako aj právo upravovať výrobky v rámci ich technologického rozvoja. </w:t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59A" w:rsidRDefault="0011759A" w:rsidP="00623454">
      <w:pPr>
        <w:spacing w:after="0" w:line="240" w:lineRule="auto"/>
      </w:pPr>
      <w:r>
        <w:separator/>
      </w:r>
    </w:p>
  </w:footnote>
  <w:footnote w:type="continuationSeparator" w:id="0">
    <w:p w:rsidR="0011759A" w:rsidRDefault="0011759A" w:rsidP="0062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76" w:rsidRPr="00CE0976" w:rsidRDefault="00C9229C" w:rsidP="0091795C">
    <w:pPr>
      <w:pStyle w:val="Nagwek"/>
      <w:pBdr>
        <w:bottom w:val="single" w:sz="4" w:space="1" w:color="auto"/>
      </w:pBd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Dátum vystavenia: 1.3.2017</w:t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6"/>
        <w:szCs w:val="20"/>
      </w:rPr>
      <w:t>Verzia 1.0/SK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16979"/>
    <w:multiLevelType w:val="multilevel"/>
    <w:tmpl w:val="20A8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dc6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FA"/>
    <w:rsid w:val="000272DC"/>
    <w:rsid w:val="00043D61"/>
    <w:rsid w:val="00063CB5"/>
    <w:rsid w:val="0007665C"/>
    <w:rsid w:val="00093D57"/>
    <w:rsid w:val="000A25E0"/>
    <w:rsid w:val="0011759A"/>
    <w:rsid w:val="00181CA1"/>
    <w:rsid w:val="0023342B"/>
    <w:rsid w:val="002F7D7C"/>
    <w:rsid w:val="0042470F"/>
    <w:rsid w:val="0049220D"/>
    <w:rsid w:val="005E7A39"/>
    <w:rsid w:val="005F051F"/>
    <w:rsid w:val="00623454"/>
    <w:rsid w:val="00697F87"/>
    <w:rsid w:val="006A6D7A"/>
    <w:rsid w:val="006D28AE"/>
    <w:rsid w:val="00721E12"/>
    <w:rsid w:val="007A2340"/>
    <w:rsid w:val="007F6CF2"/>
    <w:rsid w:val="00853071"/>
    <w:rsid w:val="008E5ED8"/>
    <w:rsid w:val="0091795C"/>
    <w:rsid w:val="00950FB4"/>
    <w:rsid w:val="009C695D"/>
    <w:rsid w:val="009E22FA"/>
    <w:rsid w:val="00A4627B"/>
    <w:rsid w:val="00AB3F85"/>
    <w:rsid w:val="00AC4251"/>
    <w:rsid w:val="00AC4C26"/>
    <w:rsid w:val="00B67847"/>
    <w:rsid w:val="00B73661"/>
    <w:rsid w:val="00B90066"/>
    <w:rsid w:val="00C9229C"/>
    <w:rsid w:val="00CA57D5"/>
    <w:rsid w:val="00CE0976"/>
    <w:rsid w:val="00D70D28"/>
    <w:rsid w:val="00E32AC4"/>
    <w:rsid w:val="00E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c63d"/>
    </o:shapedefaults>
    <o:shapelayout v:ext="edit">
      <o:idmap v:ext="edit" data="1"/>
    </o:shapelayout>
  </w:shapeDefaults>
  <w:decimalSymbol w:val=","/>
  <w:listSeparator w:val=";"/>
  <w15:docId w15:val="{D5F06A6C-5485-47F9-98F5-F599D8FD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0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6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6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454"/>
  </w:style>
  <w:style w:type="paragraph" w:styleId="Stopka">
    <w:name w:val="footer"/>
    <w:basedOn w:val="Normalny"/>
    <w:link w:val="StopkaZnak"/>
    <w:uiPriority w:val="99"/>
    <w:unhideWhenUsed/>
    <w:rsid w:val="0062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Joanna Maksa</cp:lastModifiedBy>
  <cp:revision>8</cp:revision>
  <dcterms:created xsi:type="dcterms:W3CDTF">2017-03-20T14:21:00Z</dcterms:created>
  <dcterms:modified xsi:type="dcterms:W3CDTF">2017-07-13T12:02:00Z</dcterms:modified>
</cp:coreProperties>
</file>